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D4ACB" w14:textId="696DD512" w:rsidR="00847D5D" w:rsidRPr="0001098C" w:rsidRDefault="00847D5D" w:rsidP="00847D5D">
      <w:pPr>
        <w:pStyle w:val="a3"/>
        <w:shd w:val="clear" w:color="auto" w:fill="auto"/>
        <w:spacing w:line="240" w:lineRule="auto"/>
        <w:ind w:right="20"/>
        <w:jc w:val="center"/>
        <w:rPr>
          <w:b/>
          <w:sz w:val="24"/>
          <w:szCs w:val="22"/>
        </w:rPr>
      </w:pPr>
      <w:r w:rsidRPr="0001098C">
        <w:rPr>
          <w:b/>
          <w:sz w:val="24"/>
          <w:szCs w:val="22"/>
        </w:rPr>
        <w:t>Тестовые задания для проведения контроля знаний (15 мин.)</w:t>
      </w:r>
    </w:p>
    <w:p w14:paraId="35940C2D" w14:textId="70E1CF4E" w:rsidR="0001098C" w:rsidRPr="0001098C" w:rsidRDefault="0001098C" w:rsidP="00847D5D">
      <w:pPr>
        <w:pStyle w:val="a3"/>
        <w:shd w:val="clear" w:color="auto" w:fill="auto"/>
        <w:spacing w:line="240" w:lineRule="auto"/>
        <w:ind w:right="20"/>
        <w:jc w:val="center"/>
        <w:rPr>
          <w:bCs/>
          <w:sz w:val="24"/>
          <w:szCs w:val="22"/>
        </w:rPr>
      </w:pPr>
      <w:r w:rsidRPr="0001098C">
        <w:rPr>
          <w:bCs/>
          <w:sz w:val="24"/>
          <w:szCs w:val="22"/>
        </w:rPr>
        <w:t>(Раздаточный материал)</w:t>
      </w:r>
    </w:p>
    <w:p w14:paraId="1CEB33E0" w14:textId="77777777" w:rsidR="00413E81" w:rsidRPr="00825D39" w:rsidRDefault="00413E81" w:rsidP="00847D5D">
      <w:pPr>
        <w:pStyle w:val="a3"/>
        <w:shd w:val="clear" w:color="auto" w:fill="auto"/>
        <w:spacing w:line="240" w:lineRule="auto"/>
        <w:ind w:right="20"/>
        <w:jc w:val="center"/>
        <w:rPr>
          <w:b/>
          <w:sz w:val="28"/>
          <w:szCs w:val="24"/>
        </w:rPr>
      </w:pPr>
    </w:p>
    <w:p w14:paraId="42B91596" w14:textId="01BAB754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0"/>
          <w:szCs w:val="20"/>
        </w:rPr>
        <w:t>1.</w:t>
      </w:r>
      <w:r w:rsidRPr="00847D5D">
        <w:rPr>
          <w:b/>
          <w:color w:val="000000"/>
          <w:sz w:val="22"/>
          <w:szCs w:val="20"/>
        </w:rPr>
        <w:t>При недостаточно хорошей фиксации полного съемного протеза, обусловленной</w:t>
      </w:r>
      <w:r w:rsidR="00F86C33">
        <w:rPr>
          <w:b/>
          <w:color w:val="000000"/>
          <w:sz w:val="22"/>
          <w:szCs w:val="20"/>
        </w:rPr>
        <w:t xml:space="preserve"> </w:t>
      </w:r>
      <w:r w:rsidRPr="00847D5D">
        <w:rPr>
          <w:b/>
          <w:color w:val="000000"/>
          <w:sz w:val="22"/>
          <w:szCs w:val="20"/>
        </w:rPr>
        <w:t>удлиненными границами базиса, необходимо:</w:t>
      </w:r>
    </w:p>
    <w:p w14:paraId="517DFCA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снять слепок и изготовить новый протез</w:t>
      </w:r>
    </w:p>
    <w:p w14:paraId="695342E0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провести коррекцию краев протеза</w:t>
      </w:r>
    </w:p>
    <w:p w14:paraId="3A3976E6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уточнить границы протеза самотвердеющей пластмассой</w:t>
      </w:r>
    </w:p>
    <w:p w14:paraId="4993222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снять слепок, используя протез, и провести перебазировку в лаборатории</w:t>
      </w:r>
    </w:p>
    <w:p w14:paraId="2C913E41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провести перебазировку эластичной базисной пластмассой</w:t>
      </w:r>
    </w:p>
    <w:p w14:paraId="5B0E1D87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2. "Мраморность" пластмассового базиса протеза появляется при:</w:t>
      </w:r>
    </w:p>
    <w:p w14:paraId="478F9CAF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истечении срока годности мономера</w:t>
      </w:r>
    </w:p>
    <w:p w14:paraId="6B7ABAD7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истечении срока годности полимера</w:t>
      </w:r>
    </w:p>
    <w:p w14:paraId="5E5EBF11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нарушении температурного режима полимеризации</w:t>
      </w:r>
    </w:p>
    <w:p w14:paraId="73D4DDD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несоблюдении технологии подготовки пластмассового "теста"</w:t>
      </w:r>
    </w:p>
    <w:p w14:paraId="484F8C2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быстром охлаждении кюветы после полимеризации</w:t>
      </w:r>
    </w:p>
    <w:p w14:paraId="2EC1529F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3. Ориентиром для постановки центральных резцов служит расположение:</w:t>
      </w:r>
    </w:p>
    <w:p w14:paraId="498B610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крыльев носа</w:t>
      </w:r>
    </w:p>
    <w:p w14:paraId="0316E78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уздечки верхней губы</w:t>
      </w:r>
    </w:p>
    <w:p w14:paraId="20BDA5B3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линии эстетического центра лица</w:t>
      </w:r>
    </w:p>
    <w:p w14:paraId="268A9494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 xml:space="preserve">г) </w:t>
      </w:r>
      <w:proofErr w:type="spellStart"/>
      <w:r w:rsidRPr="00847D5D">
        <w:rPr>
          <w:color w:val="000000"/>
          <w:sz w:val="20"/>
          <w:szCs w:val="20"/>
        </w:rPr>
        <w:t>фильтрума</w:t>
      </w:r>
      <w:proofErr w:type="spellEnd"/>
      <w:r w:rsidRPr="00847D5D">
        <w:rPr>
          <w:color w:val="000000"/>
          <w:sz w:val="20"/>
          <w:szCs w:val="20"/>
        </w:rPr>
        <w:t xml:space="preserve"> верхней губы</w:t>
      </w:r>
    </w:p>
    <w:p w14:paraId="2D72C65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уздечки нижней губы</w:t>
      </w:r>
    </w:p>
    <w:p w14:paraId="27309409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4. После проведения этапа определения центрального соотношения челюстей восковые базисы</w:t>
      </w:r>
      <w:r>
        <w:rPr>
          <w:b/>
          <w:color w:val="000000"/>
          <w:sz w:val="22"/>
          <w:szCs w:val="20"/>
        </w:rPr>
        <w:t xml:space="preserve"> </w:t>
      </w:r>
      <w:r w:rsidRPr="00847D5D">
        <w:rPr>
          <w:b/>
          <w:color w:val="000000"/>
          <w:sz w:val="22"/>
          <w:szCs w:val="20"/>
        </w:rPr>
        <w:t>с окклюзионными валиками:</w:t>
      </w:r>
    </w:p>
    <w:p w14:paraId="0DABE43B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используют для постановки искусственных зубов</w:t>
      </w:r>
    </w:p>
    <w:p w14:paraId="165F5F70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сохраняют до этапа проверки конструкции протезов</w:t>
      </w:r>
    </w:p>
    <w:p w14:paraId="63DD0169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сохраняют до полного изготовления протезов и их наложения</w:t>
      </w:r>
    </w:p>
    <w:p w14:paraId="308BFC0D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переплавляют для повторного использования воска</w:t>
      </w:r>
    </w:p>
    <w:p w14:paraId="05514F93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выдают пациенту на руки</w:t>
      </w:r>
    </w:p>
    <w:p w14:paraId="1B666D8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5. Для проведения этапа "Определение центрального соотношения челюстей при полном</w:t>
      </w:r>
    </w:p>
    <w:p w14:paraId="4383C30F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отсутствии зубов" в клинику поступают:</w:t>
      </w:r>
    </w:p>
    <w:p w14:paraId="30DEDE15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модели с восковыми базисами и окклюзионными валиками</w:t>
      </w:r>
    </w:p>
    <w:p w14:paraId="70FA97FA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восковые базисы с окклюзионными валиками</w:t>
      </w:r>
    </w:p>
    <w:p w14:paraId="58A5558B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модели с восковыми базисами и окклюзионными валиками, зафиксированные в окклюдатор</w:t>
      </w:r>
    </w:p>
    <w:p w14:paraId="59CF9BE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модели с восковыми базисами и окклюзионными валиками, зафиксированные в артикулятор</w:t>
      </w:r>
    </w:p>
    <w:p w14:paraId="0C9D9231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модели с восковыми базисами и искусственными зубами</w:t>
      </w:r>
    </w:p>
    <w:p w14:paraId="13FE130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6. Мышца, поднимающая нижнюю челюсть:</w:t>
      </w:r>
    </w:p>
    <w:p w14:paraId="152CDA59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челюстно-подъязычная</w:t>
      </w:r>
    </w:p>
    <w:p w14:paraId="74C143E6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височная</w:t>
      </w:r>
    </w:p>
    <w:p w14:paraId="3556B7E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двубрюшная</w:t>
      </w:r>
    </w:p>
    <w:p w14:paraId="5ADA01BE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латеральная крыловидная</w:t>
      </w:r>
    </w:p>
    <w:p w14:paraId="7881B44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подбородочно-подъязычная</w:t>
      </w:r>
    </w:p>
    <w:p w14:paraId="22EE1B54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7. Движение нижней челюсти вперед осуществляется сокращением мышц:</w:t>
      </w:r>
    </w:p>
    <w:p w14:paraId="239B3205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височных</w:t>
      </w:r>
    </w:p>
    <w:p w14:paraId="13DAAEC1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собственно жевательных</w:t>
      </w:r>
    </w:p>
    <w:p w14:paraId="476ED9C9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медиальных крыловидных</w:t>
      </w:r>
    </w:p>
    <w:p w14:paraId="02A5CC4A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латеральных крыловидных</w:t>
      </w:r>
    </w:p>
    <w:p w14:paraId="2D9AE550" w14:textId="77777777" w:rsidR="00847D5D" w:rsidRPr="00847D5D" w:rsidRDefault="00847D5D" w:rsidP="00413E81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передними отделами двубрюшных мышц</w:t>
      </w:r>
    </w:p>
    <w:p w14:paraId="2A5BEAE9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8. При выдвижении нижней челюсти вперед ее суставная головка двигается в направлении:</w:t>
      </w:r>
    </w:p>
    <w:p w14:paraId="234FA3A5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вперед</w:t>
      </w:r>
    </w:p>
    <w:p w14:paraId="4145B0DB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вперед и в сторону</w:t>
      </w:r>
    </w:p>
    <w:p w14:paraId="299E9914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вниз и вперед</w:t>
      </w:r>
    </w:p>
    <w:p w14:paraId="44634DB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назад и вниз</w:t>
      </w:r>
    </w:p>
    <w:p w14:paraId="2042A056" w14:textId="6D6A9B16" w:rsidR="00413E81" w:rsidRPr="0001098C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вперед и вверх</w:t>
      </w:r>
    </w:p>
    <w:p w14:paraId="370DD06B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9. При изготовлении индивидуальной ложки в полости рта используется:</w:t>
      </w:r>
    </w:p>
    <w:p w14:paraId="28017629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гипс</w:t>
      </w:r>
    </w:p>
    <w:p w14:paraId="5B1EBBD7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воск</w:t>
      </w:r>
    </w:p>
    <w:p w14:paraId="451902BE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пластмасса</w:t>
      </w:r>
    </w:p>
    <w:p w14:paraId="6B8B127B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термопластическая масса</w:t>
      </w:r>
    </w:p>
    <w:p w14:paraId="5150E24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легкоплавкий сплав</w:t>
      </w:r>
    </w:p>
    <w:p w14:paraId="2704D545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10. Клапанная зона является понятием:</w:t>
      </w:r>
    </w:p>
    <w:p w14:paraId="7F7682FE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анатомическим</w:t>
      </w:r>
    </w:p>
    <w:p w14:paraId="008C3CB1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физиологическим</w:t>
      </w:r>
    </w:p>
    <w:p w14:paraId="1F0113DE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функциональным</w:t>
      </w:r>
    </w:p>
    <w:p w14:paraId="0763DCA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комплексным</w:t>
      </w:r>
    </w:p>
    <w:p w14:paraId="1D14D01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эстетическим</w:t>
      </w:r>
    </w:p>
    <w:p w14:paraId="7320A81B" w14:textId="77777777" w:rsidR="00F86C33" w:rsidRDefault="00F86C33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</w:p>
    <w:p w14:paraId="427EF2C1" w14:textId="7317CD02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lastRenderedPageBreak/>
        <w:t xml:space="preserve">11. </w:t>
      </w:r>
      <w:proofErr w:type="spellStart"/>
      <w:r w:rsidRPr="00847D5D">
        <w:rPr>
          <w:b/>
          <w:color w:val="000000"/>
          <w:sz w:val="22"/>
          <w:szCs w:val="20"/>
        </w:rPr>
        <w:t>Прогенический</w:t>
      </w:r>
      <w:proofErr w:type="spellEnd"/>
      <w:r w:rsidRPr="00847D5D">
        <w:rPr>
          <w:b/>
          <w:color w:val="000000"/>
          <w:sz w:val="22"/>
          <w:szCs w:val="20"/>
        </w:rPr>
        <w:t xml:space="preserve"> тип постановки искусственных зубов у лиц при полном отсутствии зубов</w:t>
      </w:r>
    </w:p>
    <w:p w14:paraId="1B33BEC1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предусматривает:</w:t>
      </w:r>
    </w:p>
    <w:p w14:paraId="2B29ABCF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12 зубов на верхней челюсти, 14 зубов на нижней челюсти</w:t>
      </w:r>
    </w:p>
    <w:p w14:paraId="78B0F8CA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по 14 зубов на верхней и нижней челюстях</w:t>
      </w:r>
    </w:p>
    <w:p w14:paraId="3845605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12 зубов на нижней челюсти, 14 зубов на верхней челюсти</w:t>
      </w:r>
    </w:p>
    <w:p w14:paraId="588E7061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14 зубов на верхней и 16 зубов на нижней челюсти</w:t>
      </w:r>
    </w:p>
    <w:p w14:paraId="6B7A1399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16 зубов на нижней челюсти, 14 зубов на верхней челюсти</w:t>
      </w:r>
    </w:p>
    <w:p w14:paraId="454ED70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12. В полном съемном протезе на верхнюю челюсть количество зубов, как правило, составляет:</w:t>
      </w:r>
    </w:p>
    <w:p w14:paraId="7C9C30E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8</w:t>
      </w:r>
    </w:p>
    <w:p w14:paraId="0F0C4C49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10</w:t>
      </w:r>
    </w:p>
    <w:p w14:paraId="65D73B7F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12</w:t>
      </w:r>
    </w:p>
    <w:p w14:paraId="0D12731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14</w:t>
      </w:r>
    </w:p>
    <w:p w14:paraId="17D53DA7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16</w:t>
      </w:r>
    </w:p>
    <w:p w14:paraId="6AAAE76A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13. Окклюдатор - аппарат, воспроизводящий:</w:t>
      </w:r>
    </w:p>
    <w:p w14:paraId="397CACBE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все движения нижней челюсти</w:t>
      </w:r>
    </w:p>
    <w:p w14:paraId="7EFBC9B0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смыкание и размыкание челюстей</w:t>
      </w:r>
    </w:p>
    <w:p w14:paraId="1C756EE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движения нижней челюсти влево</w:t>
      </w:r>
    </w:p>
    <w:p w14:paraId="602B9703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движения нижней челюсти вправо</w:t>
      </w:r>
    </w:p>
    <w:p w14:paraId="034D2FCD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движения нижней челюсти вперед</w:t>
      </w:r>
    </w:p>
    <w:p w14:paraId="432F798E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14. Артикуляция - понятие, включающее в себя соотношение челюстей при:</w:t>
      </w:r>
    </w:p>
    <w:p w14:paraId="0F570B44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центральной окклюзии</w:t>
      </w:r>
    </w:p>
    <w:p w14:paraId="1957EF8B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боковой окклюзии</w:t>
      </w:r>
    </w:p>
    <w:p w14:paraId="5D8D780B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передней окклюзии</w:t>
      </w:r>
    </w:p>
    <w:p w14:paraId="174321F4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всевозможных положениях нижней челюсти</w:t>
      </w:r>
    </w:p>
    <w:p w14:paraId="057A4CF5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состоянии физиологического покоя</w:t>
      </w:r>
    </w:p>
    <w:p w14:paraId="3FE71923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 xml:space="preserve">15. Высота </w:t>
      </w:r>
      <w:proofErr w:type="spellStart"/>
      <w:r w:rsidRPr="00847D5D">
        <w:rPr>
          <w:b/>
          <w:color w:val="000000"/>
          <w:sz w:val="22"/>
          <w:szCs w:val="20"/>
        </w:rPr>
        <w:t>окклюзионного</w:t>
      </w:r>
      <w:proofErr w:type="spellEnd"/>
      <w:r w:rsidRPr="00847D5D">
        <w:rPr>
          <w:b/>
          <w:color w:val="000000"/>
          <w:sz w:val="22"/>
          <w:szCs w:val="20"/>
        </w:rPr>
        <w:t xml:space="preserve"> валика:</w:t>
      </w:r>
    </w:p>
    <w:p w14:paraId="1FBC2E2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2 см</w:t>
      </w:r>
    </w:p>
    <w:p w14:paraId="1143713A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выше оставшихся зубов</w:t>
      </w:r>
    </w:p>
    <w:p w14:paraId="635B767D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ниже оставшихся зубов</w:t>
      </w:r>
    </w:p>
    <w:p w14:paraId="46DD90FF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на уровне оставшихся зубов</w:t>
      </w:r>
    </w:p>
    <w:p w14:paraId="3D105C94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на уровне альвеолярного гребня</w:t>
      </w:r>
    </w:p>
    <w:p w14:paraId="37BC80B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 xml:space="preserve">16. </w:t>
      </w:r>
      <w:proofErr w:type="spellStart"/>
      <w:r w:rsidRPr="00847D5D">
        <w:rPr>
          <w:b/>
          <w:color w:val="000000"/>
          <w:sz w:val="22"/>
          <w:szCs w:val="20"/>
        </w:rPr>
        <w:t>Окклюзионная</w:t>
      </w:r>
      <w:proofErr w:type="spellEnd"/>
      <w:r w:rsidRPr="00847D5D">
        <w:rPr>
          <w:b/>
          <w:color w:val="000000"/>
          <w:sz w:val="22"/>
          <w:szCs w:val="20"/>
        </w:rPr>
        <w:t xml:space="preserve"> кривая - линия, проведенная по:</w:t>
      </w:r>
    </w:p>
    <w:p w14:paraId="55A2DC59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режущим краям фронтальных зубов</w:t>
      </w:r>
    </w:p>
    <w:p w14:paraId="63EC2370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режущим краям фронтальных зубов и щечным буграм премоляров и моляров</w:t>
      </w:r>
    </w:p>
    <w:p w14:paraId="7518691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проекции верхушек корней зубов</w:t>
      </w:r>
    </w:p>
    <w:p w14:paraId="448546D1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жевательной поверхности премоляров и моляров</w:t>
      </w:r>
    </w:p>
    <w:p w14:paraId="47FA8C47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по вершинам бугров моляров</w:t>
      </w:r>
    </w:p>
    <w:p w14:paraId="71E45D27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17. Центральная окклюзия характеризуется:</w:t>
      </w:r>
    </w:p>
    <w:p w14:paraId="60D6877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 xml:space="preserve">а) множественным </w:t>
      </w:r>
      <w:proofErr w:type="spellStart"/>
      <w:r w:rsidRPr="00847D5D">
        <w:rPr>
          <w:color w:val="000000"/>
          <w:sz w:val="20"/>
          <w:szCs w:val="20"/>
        </w:rPr>
        <w:t>фиссурно</w:t>
      </w:r>
      <w:proofErr w:type="spellEnd"/>
      <w:r w:rsidRPr="00847D5D">
        <w:rPr>
          <w:color w:val="000000"/>
          <w:sz w:val="20"/>
          <w:szCs w:val="20"/>
        </w:rPr>
        <w:t>-бугорковым контактом</w:t>
      </w:r>
    </w:p>
    <w:p w14:paraId="2116F80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смещением влево резцовой линии</w:t>
      </w:r>
    </w:p>
    <w:p w14:paraId="0935252B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контактом жевательных групп зубов справа</w:t>
      </w:r>
    </w:p>
    <w:p w14:paraId="56DF9E30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напряжением мышц, опускающих нижнюю челюсть</w:t>
      </w:r>
    </w:p>
    <w:p w14:paraId="7C9B87FC" w14:textId="2DCC80D2" w:rsidR="00413E81" w:rsidRPr="0001098C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смещением суставных головок вперед</w:t>
      </w:r>
    </w:p>
    <w:p w14:paraId="75BCC3F5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18. К режущим инструментам относятся:</w:t>
      </w:r>
    </w:p>
    <w:p w14:paraId="65B6801E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алмазные боры</w:t>
      </w:r>
    </w:p>
    <w:p w14:paraId="255DF151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твердосплавные боры</w:t>
      </w:r>
    </w:p>
    <w:p w14:paraId="1FFF71EA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резиновые головки</w:t>
      </w:r>
    </w:p>
    <w:p w14:paraId="25C1EE6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карборундовые камни</w:t>
      </w:r>
    </w:p>
    <w:p w14:paraId="1BE3E1CD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штрипсы</w:t>
      </w:r>
    </w:p>
    <w:p w14:paraId="105A3D08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0"/>
        </w:rPr>
      </w:pPr>
      <w:r w:rsidRPr="00847D5D">
        <w:rPr>
          <w:b/>
          <w:color w:val="000000"/>
          <w:sz w:val="22"/>
          <w:szCs w:val="20"/>
        </w:rPr>
        <w:t>19. Воск, используемый для определения центральной окклюзии, называется:</w:t>
      </w:r>
    </w:p>
    <w:p w14:paraId="70E4214A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 xml:space="preserve">а) </w:t>
      </w:r>
      <w:proofErr w:type="spellStart"/>
      <w:r w:rsidRPr="00847D5D">
        <w:rPr>
          <w:color w:val="000000"/>
          <w:sz w:val="20"/>
          <w:szCs w:val="20"/>
        </w:rPr>
        <w:t>моделировочным</w:t>
      </w:r>
      <w:proofErr w:type="spellEnd"/>
    </w:p>
    <w:p w14:paraId="7ADDF55C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базисным</w:t>
      </w:r>
    </w:p>
    <w:p w14:paraId="301AD6C4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профильным (</w:t>
      </w:r>
      <w:proofErr w:type="spellStart"/>
      <w:r w:rsidRPr="00847D5D">
        <w:rPr>
          <w:color w:val="000000"/>
          <w:sz w:val="20"/>
          <w:szCs w:val="20"/>
        </w:rPr>
        <w:t>восколит</w:t>
      </w:r>
      <w:proofErr w:type="spellEnd"/>
      <w:r w:rsidRPr="00847D5D">
        <w:rPr>
          <w:color w:val="000000"/>
          <w:sz w:val="20"/>
          <w:szCs w:val="20"/>
        </w:rPr>
        <w:t>)</w:t>
      </w:r>
    </w:p>
    <w:p w14:paraId="10ADD8ED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 xml:space="preserve">г) </w:t>
      </w:r>
      <w:proofErr w:type="spellStart"/>
      <w:r w:rsidRPr="00847D5D">
        <w:rPr>
          <w:color w:val="000000"/>
          <w:sz w:val="20"/>
          <w:szCs w:val="20"/>
        </w:rPr>
        <w:t>бюгельным</w:t>
      </w:r>
      <w:proofErr w:type="spellEnd"/>
    </w:p>
    <w:p w14:paraId="7867A6A7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липким</w:t>
      </w:r>
    </w:p>
    <w:p w14:paraId="3B715B77" w14:textId="77777777" w:rsidR="00847D5D" w:rsidRPr="00847D5D" w:rsidRDefault="00847D5D" w:rsidP="00847D5D">
      <w:pPr>
        <w:spacing w:after="0" w:line="288" w:lineRule="atLeast"/>
        <w:rPr>
          <w:rFonts w:ascii="Times New Roman" w:eastAsia="Times New Roman" w:hAnsi="Times New Roman"/>
          <w:b/>
          <w:szCs w:val="20"/>
          <w:lang w:eastAsia="ru-RU"/>
        </w:rPr>
      </w:pPr>
      <w:r w:rsidRPr="00847D5D">
        <w:rPr>
          <w:rFonts w:ascii="Times New Roman" w:eastAsia="Times New Roman" w:hAnsi="Times New Roman"/>
          <w:b/>
          <w:szCs w:val="20"/>
          <w:lang w:eastAsia="ru-RU"/>
        </w:rPr>
        <w:t>20. Съемные пластиночные протезы восстанавливают жевательную эффективность до (в %):</w:t>
      </w:r>
    </w:p>
    <w:p w14:paraId="06CEB56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а) 20</w:t>
      </w:r>
    </w:p>
    <w:p w14:paraId="43111936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б) 50</w:t>
      </w:r>
    </w:p>
    <w:p w14:paraId="020117B2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в) 70</w:t>
      </w:r>
    </w:p>
    <w:p w14:paraId="7EF6AA6D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г) 90</w:t>
      </w:r>
    </w:p>
    <w:p w14:paraId="57F52297" w14:textId="77777777" w:rsidR="00847D5D" w:rsidRPr="00847D5D" w:rsidRDefault="00847D5D" w:rsidP="00847D5D">
      <w:pPr>
        <w:pStyle w:val="a5"/>
        <w:spacing w:before="0" w:beforeAutospacing="0" w:after="0" w:afterAutospacing="0" w:line="276" w:lineRule="auto"/>
        <w:jc w:val="both"/>
        <w:rPr>
          <w:color w:val="000000"/>
          <w:sz w:val="20"/>
          <w:szCs w:val="20"/>
        </w:rPr>
      </w:pPr>
      <w:r w:rsidRPr="00847D5D">
        <w:rPr>
          <w:color w:val="000000"/>
          <w:sz w:val="20"/>
          <w:szCs w:val="20"/>
        </w:rPr>
        <w:t>д) 100</w:t>
      </w:r>
    </w:p>
    <w:p w14:paraId="723CE986" w14:textId="77777777" w:rsidR="00E518AC" w:rsidRDefault="00E518AC"/>
    <w:sectPr w:rsidR="00E518AC" w:rsidSect="0001098C">
      <w:pgSz w:w="16838" w:h="11906" w:orient="landscape"/>
      <w:pgMar w:top="993" w:right="709" w:bottom="424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D5D"/>
    <w:rsid w:val="0001098C"/>
    <w:rsid w:val="00413E81"/>
    <w:rsid w:val="00847D5D"/>
    <w:rsid w:val="00E518AC"/>
    <w:rsid w:val="00F8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3F43C"/>
  <w15:docId w15:val="{291B7820-D46D-436E-B5B8-6E33DCCC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D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847D5D"/>
    <w:rPr>
      <w:rFonts w:ascii="Times New Roman" w:hAnsi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847D5D"/>
    <w:pPr>
      <w:shd w:val="clear" w:color="auto" w:fill="FFFFFF"/>
      <w:spacing w:after="0" w:line="480" w:lineRule="exact"/>
      <w:jc w:val="both"/>
    </w:pPr>
    <w:rPr>
      <w:rFonts w:ascii="Times New Roman" w:eastAsiaTheme="minorHAnsi" w:hAnsi="Times New Roman" w:cstheme="minorBidi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847D5D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47D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9E2A8-54FB-482F-B48A-0EF59E67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676</Words>
  <Characters>3857</Characters>
  <Application>Microsoft Office Word</Application>
  <DocSecurity>0</DocSecurity>
  <Lines>32</Lines>
  <Paragraphs>9</Paragraphs>
  <ScaleCrop>false</ScaleCrop>
  <Company>Noname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2019-05-06T05:13:00Z</dcterms:created>
  <dcterms:modified xsi:type="dcterms:W3CDTF">2022-11-06T11:15:00Z</dcterms:modified>
</cp:coreProperties>
</file>